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D6" w:rsidRDefault="004337D6">
      <w:pPr>
        <w:pStyle w:val="BodyText"/>
        <w:spacing w:before="78"/>
        <w:ind w:left="115"/>
      </w:pPr>
      <w:r>
        <w:t>Dottor Menotti Lerro</w:t>
      </w:r>
    </w:p>
    <w:p w:rsidR="004337D6" w:rsidRDefault="004337D6">
      <w:pPr>
        <w:pStyle w:val="BodyText"/>
        <w:ind w:left="115" w:right="5189"/>
      </w:pPr>
      <w:r>
        <w:t>Nato a Omignano (Sa) il 22 febbraio 1980 Residente in Piazza Roma 11, Omignano (Sa)</w:t>
      </w:r>
    </w:p>
    <w:p w:rsidR="004337D6" w:rsidRDefault="004337D6">
      <w:pPr>
        <w:pStyle w:val="BodyText"/>
        <w:spacing w:before="1"/>
        <w:ind w:left="115"/>
      </w:pPr>
      <w:r>
        <w:t>Codice Fiscale LRR MTT 80B22 G063 Q – Telefono 328.2972977</w:t>
      </w:r>
    </w:p>
    <w:p w:rsidR="004337D6" w:rsidRDefault="004337D6">
      <w:pPr>
        <w:pStyle w:val="BodyText"/>
        <w:rPr>
          <w:sz w:val="26"/>
        </w:rPr>
      </w:pPr>
    </w:p>
    <w:p w:rsidR="004337D6" w:rsidRDefault="004337D6">
      <w:pPr>
        <w:spacing w:before="219"/>
        <w:ind w:left="115"/>
        <w:rPr>
          <w:b/>
          <w:i/>
        </w:rPr>
      </w:pPr>
      <w:r>
        <w:rPr>
          <w:b/>
        </w:rPr>
        <w:t xml:space="preserve">OGGETTO: edizione del volume </w:t>
      </w:r>
      <w:r>
        <w:rPr>
          <w:b/>
          <w:i/>
        </w:rPr>
        <w:t>Entropia del cuore di Menotti Lerro</w:t>
      </w:r>
    </w:p>
    <w:p w:rsidR="004337D6" w:rsidRDefault="004337D6">
      <w:pPr>
        <w:pStyle w:val="BodyText"/>
        <w:rPr>
          <w:b/>
          <w:i/>
        </w:rPr>
      </w:pPr>
    </w:p>
    <w:p w:rsidR="004337D6" w:rsidRDefault="004337D6">
      <w:pPr>
        <w:pStyle w:val="BodyText"/>
        <w:ind w:left="115"/>
      </w:pPr>
      <w:r>
        <w:t xml:space="preserve">Con riferimento agli accordi intercorsi resta confermato il reciproco impegno per la pubblicazione del volume </w:t>
      </w:r>
      <w:r>
        <w:rPr>
          <w:b/>
          <w:i/>
        </w:rPr>
        <w:t>Entropia del cuore di Menotti Lerro</w:t>
      </w:r>
      <w:r>
        <w:t>. Al riguardo si conviene quanto segue:</w:t>
      </w:r>
    </w:p>
    <w:p w:rsidR="004337D6" w:rsidRDefault="004337D6">
      <w:pPr>
        <w:pStyle w:val="BodyText"/>
        <w:spacing w:before="2"/>
      </w:pPr>
    </w:p>
    <w:p w:rsidR="004337D6" w:rsidRDefault="004337D6">
      <w:pPr>
        <w:pStyle w:val="ListParagraph"/>
        <w:numPr>
          <w:ilvl w:val="0"/>
          <w:numId w:val="1"/>
        </w:numPr>
        <w:tabs>
          <w:tab w:val="left" w:pos="1126"/>
        </w:tabs>
        <w:ind w:right="209" w:firstLine="708"/>
      </w:pPr>
      <w:r>
        <w:t xml:space="preserve">Il Dottor Menotti Lerro, di seguito denominato Curatore, autorizza l'Editrice ZONA di Piero Cademartori e C. sas, di seguito denominata Editore, a pubblicare, stampare e mettere in vendita l'opera dal titolo </w:t>
      </w:r>
      <w:r>
        <w:rPr>
          <w:b/>
          <w:i/>
        </w:rPr>
        <w:t xml:space="preserve">Entropia del cuore di Menotti Lerro </w:t>
      </w:r>
      <w:r>
        <w:t>di cui è Autore Francesco D'Episcopo, il quale si dichiara e resta unico ed esclusivo proprietario, in un volume di centoventi pagine più copertina, formato</w:t>
      </w:r>
      <w:r>
        <w:rPr>
          <w:spacing w:val="12"/>
        </w:rPr>
        <w:t xml:space="preserve"> </w:t>
      </w:r>
      <w:r>
        <w:t>cm</w:t>
      </w:r>
      <w:r>
        <w:rPr>
          <w:spacing w:val="12"/>
        </w:rPr>
        <w:t xml:space="preserve"> </w:t>
      </w:r>
      <w:r>
        <w:t>14x20,</w:t>
      </w:r>
      <w:r>
        <w:rPr>
          <w:spacing w:val="13"/>
        </w:rPr>
        <w:t xml:space="preserve"> </w:t>
      </w:r>
      <w:r>
        <w:t>stampa</w:t>
      </w:r>
      <w:r>
        <w:rPr>
          <w:spacing w:val="14"/>
        </w:rPr>
        <w:t xml:space="preserve"> </w:t>
      </w:r>
      <w:r>
        <w:t>a</w:t>
      </w:r>
      <w:r>
        <w:rPr>
          <w:spacing w:val="14"/>
        </w:rPr>
        <w:t xml:space="preserve"> </w:t>
      </w:r>
      <w:r>
        <w:t>colori</w:t>
      </w:r>
      <w:r>
        <w:rPr>
          <w:spacing w:val="13"/>
        </w:rPr>
        <w:t xml:space="preserve"> </w:t>
      </w:r>
      <w:r>
        <w:t>per</w:t>
      </w:r>
      <w:r>
        <w:rPr>
          <w:spacing w:val="13"/>
        </w:rPr>
        <w:t xml:space="preserve"> </w:t>
      </w:r>
      <w:r>
        <w:t>la</w:t>
      </w:r>
      <w:r>
        <w:rPr>
          <w:spacing w:val="13"/>
        </w:rPr>
        <w:t xml:space="preserve"> </w:t>
      </w:r>
      <w:r>
        <w:t>copertina</w:t>
      </w:r>
      <w:r>
        <w:rPr>
          <w:spacing w:val="14"/>
        </w:rPr>
        <w:t xml:space="preserve"> </w:t>
      </w:r>
      <w:r>
        <w:t>e</w:t>
      </w:r>
      <w:r>
        <w:rPr>
          <w:spacing w:val="13"/>
        </w:rPr>
        <w:t xml:space="preserve"> </w:t>
      </w:r>
      <w:r>
        <w:t>bianco</w:t>
      </w:r>
      <w:r>
        <w:rPr>
          <w:spacing w:val="13"/>
        </w:rPr>
        <w:t xml:space="preserve"> </w:t>
      </w:r>
      <w:r>
        <w:t>e</w:t>
      </w:r>
      <w:r>
        <w:rPr>
          <w:spacing w:val="13"/>
        </w:rPr>
        <w:t xml:space="preserve"> </w:t>
      </w:r>
      <w:r>
        <w:t>nero</w:t>
      </w:r>
      <w:r>
        <w:rPr>
          <w:spacing w:val="13"/>
        </w:rPr>
        <w:t xml:space="preserve"> </w:t>
      </w:r>
      <w:r>
        <w:t>per</w:t>
      </w:r>
      <w:r>
        <w:rPr>
          <w:spacing w:val="13"/>
        </w:rPr>
        <w:t xml:space="preserve"> </w:t>
      </w:r>
      <w:r>
        <w:t>gli</w:t>
      </w:r>
      <w:r>
        <w:rPr>
          <w:spacing w:val="14"/>
        </w:rPr>
        <w:t xml:space="preserve"> </w:t>
      </w:r>
      <w:r>
        <w:t>interni,</w:t>
      </w:r>
      <w:r>
        <w:rPr>
          <w:spacing w:val="12"/>
        </w:rPr>
        <w:t xml:space="preserve"> </w:t>
      </w:r>
      <w:r>
        <w:t>carta</w:t>
      </w:r>
      <w:r>
        <w:rPr>
          <w:spacing w:val="14"/>
        </w:rPr>
        <w:t xml:space="preserve"> </w:t>
      </w:r>
      <w:r>
        <w:t>patinata</w:t>
      </w:r>
      <w:r>
        <w:rPr>
          <w:spacing w:val="13"/>
        </w:rPr>
        <w:t xml:space="preserve"> </w:t>
      </w:r>
      <w:r>
        <w:t>da</w:t>
      </w:r>
    </w:p>
    <w:p w:rsidR="004337D6" w:rsidRDefault="004337D6">
      <w:pPr>
        <w:pStyle w:val="BodyText"/>
        <w:spacing w:before="2"/>
        <w:ind w:left="115" w:right="214"/>
        <w:jc w:val="both"/>
      </w:pPr>
      <w:r>
        <w:t xml:space="preserve">300 gr/mq per la copertina e 100 gr/mq uso mano per edizioni per gli interni, e confezione in brossura, e in un ebook (libro elettronico) realizzato nei formati ora e in futuro in uso. </w:t>
      </w:r>
      <w:r>
        <w:rPr>
          <w:spacing w:val="-3"/>
        </w:rPr>
        <w:t xml:space="preserve">L'opera </w:t>
      </w:r>
      <w:r>
        <w:t>verrà inserita nella collana ZONA Contemporanea. L'Editore accetta e compera i diritti commerciali di tale opera, per il tempo e secondo le modalità qui riportate; il Curatore si impegna a consegnare tutti i materiali all’Editore con mezzi elettronici nei tempi qui</w:t>
      </w:r>
      <w:r>
        <w:rPr>
          <w:spacing w:val="-6"/>
        </w:rPr>
        <w:t xml:space="preserve"> </w:t>
      </w:r>
      <w:r>
        <w:t>convenuti.</w:t>
      </w:r>
    </w:p>
    <w:p w:rsidR="004337D6" w:rsidRDefault="004337D6">
      <w:pPr>
        <w:pStyle w:val="BodyText"/>
        <w:spacing w:before="3"/>
      </w:pPr>
    </w:p>
    <w:p w:rsidR="004337D6" w:rsidRDefault="004337D6">
      <w:pPr>
        <w:pStyle w:val="ListParagraph"/>
        <w:numPr>
          <w:ilvl w:val="0"/>
          <w:numId w:val="1"/>
        </w:numPr>
        <w:tabs>
          <w:tab w:val="left" w:pos="1119"/>
        </w:tabs>
        <w:ind w:left="1118" w:right="0" w:hanging="294"/>
        <w:jc w:val="left"/>
      </w:pPr>
      <w:r>
        <w:t>Il</w:t>
      </w:r>
      <w:r>
        <w:rPr>
          <w:spacing w:val="12"/>
        </w:rPr>
        <w:t xml:space="preserve"> </w:t>
      </w:r>
      <w:r>
        <w:t>Curatore</w:t>
      </w:r>
      <w:r>
        <w:rPr>
          <w:spacing w:val="12"/>
        </w:rPr>
        <w:t xml:space="preserve"> </w:t>
      </w:r>
      <w:r>
        <w:t>si</w:t>
      </w:r>
      <w:r>
        <w:rPr>
          <w:spacing w:val="13"/>
        </w:rPr>
        <w:t xml:space="preserve"> </w:t>
      </w:r>
      <w:r>
        <w:t>obbliga</w:t>
      </w:r>
      <w:r>
        <w:rPr>
          <w:spacing w:val="13"/>
        </w:rPr>
        <w:t xml:space="preserve"> </w:t>
      </w:r>
      <w:r>
        <w:t>a</w:t>
      </w:r>
      <w:r>
        <w:rPr>
          <w:spacing w:val="11"/>
        </w:rPr>
        <w:t xml:space="preserve"> </w:t>
      </w:r>
      <w:r>
        <w:t>consegnare</w:t>
      </w:r>
      <w:r>
        <w:rPr>
          <w:spacing w:val="12"/>
        </w:rPr>
        <w:t xml:space="preserve"> </w:t>
      </w:r>
      <w:r>
        <w:t>all'Editore</w:t>
      </w:r>
      <w:r>
        <w:rPr>
          <w:spacing w:val="12"/>
        </w:rPr>
        <w:t xml:space="preserve"> </w:t>
      </w:r>
      <w:r>
        <w:t>l'opera</w:t>
      </w:r>
      <w:r>
        <w:rPr>
          <w:spacing w:val="14"/>
        </w:rPr>
        <w:t xml:space="preserve"> </w:t>
      </w:r>
      <w:r>
        <w:t>completa</w:t>
      </w:r>
      <w:r>
        <w:rPr>
          <w:spacing w:val="12"/>
        </w:rPr>
        <w:t xml:space="preserve"> </w:t>
      </w:r>
      <w:r>
        <w:t>di</w:t>
      </w:r>
      <w:r>
        <w:rPr>
          <w:spacing w:val="13"/>
        </w:rPr>
        <w:t xml:space="preserve"> </w:t>
      </w:r>
      <w:r>
        <w:t>tutte</w:t>
      </w:r>
      <w:r>
        <w:rPr>
          <w:spacing w:val="12"/>
        </w:rPr>
        <w:t xml:space="preserve"> </w:t>
      </w:r>
      <w:r>
        <w:t>le</w:t>
      </w:r>
      <w:r>
        <w:rPr>
          <w:spacing w:val="12"/>
        </w:rPr>
        <w:t xml:space="preserve"> </w:t>
      </w:r>
      <w:r>
        <w:t>sue</w:t>
      </w:r>
      <w:r>
        <w:rPr>
          <w:spacing w:val="13"/>
        </w:rPr>
        <w:t xml:space="preserve"> </w:t>
      </w:r>
      <w:r>
        <w:t>parti</w:t>
      </w:r>
      <w:r>
        <w:rPr>
          <w:spacing w:val="12"/>
        </w:rPr>
        <w:t xml:space="preserve"> </w:t>
      </w:r>
      <w:r>
        <w:t>entro</w:t>
      </w:r>
      <w:r>
        <w:rPr>
          <w:spacing w:val="13"/>
        </w:rPr>
        <w:t xml:space="preserve"> </w:t>
      </w:r>
      <w:r>
        <w:t>il</w:t>
      </w:r>
    </w:p>
    <w:p w:rsidR="004337D6" w:rsidRDefault="004337D6">
      <w:pPr>
        <w:pStyle w:val="BodyText"/>
        <w:ind w:left="115" w:right="110"/>
      </w:pPr>
      <w:r>
        <w:t xml:space="preserve">20 novembre 2019. Si obbliga alla verifica e correzione delle prime bozze, che avrà dall’Editore in formato elettronico entro il 20 dicembre 2019, consegnando su file di </w:t>
      </w:r>
      <w:r>
        <w:rPr>
          <w:spacing w:val="-3"/>
        </w:rPr>
        <w:t xml:space="preserve">Word </w:t>
      </w:r>
      <w:r>
        <w:t xml:space="preserve">le correzioni apportate entro e non oltre il 10 gennaio 2020, e alla visione delle seconde bozze, che avrà dall’Editore entro il 31 gennaio 2020, con l’impegno di licenziarle definitivamente e di fornire assenso per la stampa entro il 10 febbraio 2020. L'Editore si obbliga a pubblicare l'opera entro il 29 febbraio </w:t>
      </w:r>
      <w:r>
        <w:rPr>
          <w:spacing w:val="3"/>
        </w:rPr>
        <w:t xml:space="preserve">2020e </w:t>
      </w:r>
      <w:r>
        <w:t>a inserire il nome dell'Autore e del Curatore in copertina e nel frontespizio del libro che contiene l'opera. Il Curatore si obbliga a informare l'Editore degli eventuali diritti di terzi che possano essere reclamati per i testi o   per altri materiali consegnati dal Curatore all’Editore e contenuti nell'opera, e solleva l'Editore da ogni responsabilità per l'omissione di tale</w:t>
      </w:r>
      <w:r>
        <w:rPr>
          <w:spacing w:val="2"/>
        </w:rPr>
        <w:t xml:space="preserve"> </w:t>
      </w:r>
      <w:r>
        <w:t>informativa.</w:t>
      </w:r>
    </w:p>
    <w:p w:rsidR="004337D6" w:rsidRDefault="004337D6">
      <w:pPr>
        <w:pStyle w:val="BodyText"/>
        <w:spacing w:before="5"/>
      </w:pPr>
    </w:p>
    <w:p w:rsidR="004337D6" w:rsidRDefault="004337D6">
      <w:pPr>
        <w:pStyle w:val="ListParagraph"/>
        <w:numPr>
          <w:ilvl w:val="0"/>
          <w:numId w:val="1"/>
        </w:numPr>
        <w:tabs>
          <w:tab w:val="left" w:pos="1138"/>
        </w:tabs>
        <w:ind w:right="109" w:firstLine="708"/>
      </w:pPr>
      <w:r>
        <w:t>A compenso dell'autorizzazione di cui al punto 1, l'Editore corrisponderà al Curatore una royalty del 5% (cinque per cento) sul prezzo di copertina di ogni copia del volume cartaceo, e una royalty del 10% (dieci per cento) per quello elettronico, effettivamente vendute attraverso i normali canali commerciali. Non saranno pagate royalties sulle copie destinate alla promozione e omaggio per gli operatori professionali, alla partecipazione a concorsi e premi letterari e simili, sulle copie che dovessero risultare fallate per difetti di stampa e su quelle riservate all'Autore e al Curatore. Il Curatore s’impegna a richiedere 40 (quaranta) copie del volume cartaceo contenente l'opera, copie di cui il Curatore potrà disporre liberamente salvo l’assoluto divieto di vendita presso le Librerie italiane, con uno sconto del 20% (venti per cento) sul prezzo di copertina e spese di consegna a carico dell'Editore, e usufruirà dello sconto del 20% (venti per cento) su altre eventuali copie che intendesse acquistare per ordini non inferiori alle 20 copie. Il Curatore s'impegna a corrispondere all'Editore la somma forfettaria di Euro 448,00 (quattrocentoquarantotto/00) per l’acquisto delle copie suddette, versata per metà alla sottoscrizione del presente accordo e per metà entro il 29 febbraio 2020. Il versamento dell'acconto ha valore di conferma del presente accordo a ne avvia la validità. Qualora, in casi di forza maggiore, esclusivamente per fatti ed eventi riferiti all’Editore, lo stesso Editore si trovasse impossibilitato a pubblicare l’opera, la somma versata in acconto verrà restituita al Curatore. Il</w:t>
      </w:r>
      <w:r>
        <w:rPr>
          <w:spacing w:val="-35"/>
        </w:rPr>
        <w:t xml:space="preserve"> </w:t>
      </w:r>
      <w:r>
        <w:t>Curatore</w:t>
      </w:r>
    </w:p>
    <w:p w:rsidR="004337D6" w:rsidRDefault="004337D6">
      <w:pPr>
        <w:jc w:val="both"/>
        <w:sectPr w:rsidR="004337D6">
          <w:type w:val="continuous"/>
          <w:pgSz w:w="12240" w:h="15840"/>
          <w:pgMar w:top="1340" w:right="920" w:bottom="280" w:left="1020" w:header="720" w:footer="720" w:gutter="0"/>
          <w:cols w:space="720"/>
        </w:sectPr>
      </w:pPr>
    </w:p>
    <w:p w:rsidR="004337D6" w:rsidRDefault="004337D6">
      <w:pPr>
        <w:pStyle w:val="BodyText"/>
        <w:spacing w:before="78"/>
        <w:ind w:left="115" w:right="110"/>
      </w:pPr>
      <w:r>
        <w:t>si impegna a rendersi disponibile per presentazioni pubbliche del volume, così come per interviste o altre iniziative promozionali.</w:t>
      </w:r>
    </w:p>
    <w:p w:rsidR="004337D6" w:rsidRDefault="004337D6">
      <w:pPr>
        <w:pStyle w:val="BodyText"/>
        <w:spacing w:before="1"/>
      </w:pPr>
    </w:p>
    <w:p w:rsidR="004337D6" w:rsidRDefault="004337D6">
      <w:pPr>
        <w:pStyle w:val="ListParagraph"/>
        <w:numPr>
          <w:ilvl w:val="0"/>
          <w:numId w:val="1"/>
        </w:numPr>
        <w:tabs>
          <w:tab w:val="left" w:pos="1144"/>
        </w:tabs>
        <w:ind w:firstLine="708"/>
      </w:pPr>
      <w:r>
        <w:t>L'Editore s'impegna ad attribuire al volume i codici internazionali ISBN e EAN, a dare il massimo possibile di visibilità all'opera, a curare l'ufficio stampa presso le testate nazionali e a realizzare una o più pagine web promozionali, con scheda dell’opera e nota biografica dell'Autore e del Curatore, che saranno inserite sul sito Internet</w:t>
      </w:r>
      <w:r>
        <w:rPr>
          <w:color w:val="0000FF"/>
        </w:rPr>
        <w:t xml:space="preserve"> </w:t>
      </w:r>
      <w:hyperlink r:id="rId5">
        <w:r>
          <w:rPr>
            <w:color w:val="0000FF"/>
            <w:u w:val="single" w:color="0000FF"/>
          </w:rPr>
          <w:t>www.zonacontemporanea.it</w:t>
        </w:r>
      </w:hyperlink>
      <w:r>
        <w:rPr>
          <w:color w:val="0000FF"/>
        </w:rPr>
        <w:t xml:space="preserve"> </w:t>
      </w:r>
      <w:r>
        <w:t xml:space="preserve">e su altri siti collegati. </w:t>
      </w:r>
      <w:r>
        <w:rPr>
          <w:spacing w:val="-3"/>
        </w:rPr>
        <w:t xml:space="preserve">L’Editore </w:t>
      </w:r>
      <w:r>
        <w:t xml:space="preserve">s’impegna altresì a diffondere il libro cartaceo, oltre che nelle Librerie italiane attraverso i propri canali distributivi, nei punti vendita espressamente indicati dal Curatore, mentre il libro elettronico verrà commercializzato nelle maggiori librerie on line, senza limitazioni territoriali. </w:t>
      </w:r>
      <w:r>
        <w:rPr>
          <w:spacing w:val="-3"/>
        </w:rPr>
        <w:t xml:space="preserve">L’Editore </w:t>
      </w:r>
      <w:r>
        <w:t xml:space="preserve">ha facoltà inoltre di proporre la traduzione e la vendita dei diritti dell’opera all’estero e per elaborazioni, trasformazioni, trasposizioni e adattamenti teatrali e cinematografici dell'opera. </w:t>
      </w:r>
      <w:r>
        <w:rPr>
          <w:spacing w:val="-3"/>
        </w:rPr>
        <w:t xml:space="preserve">Per </w:t>
      </w:r>
      <w:r>
        <w:t>tali cessioni il Curatore, che verrà preventivamente informato e consultato e al quale sarà richiesta autorizzazione scritta, avrà diritto al compenso del 30% (trenta per cento) sugli utili netti</w:t>
      </w:r>
      <w:r>
        <w:rPr>
          <w:spacing w:val="-35"/>
        </w:rPr>
        <w:t xml:space="preserve"> </w:t>
      </w:r>
      <w:r>
        <w:t>derivanti.</w:t>
      </w:r>
    </w:p>
    <w:p w:rsidR="004337D6" w:rsidRDefault="004337D6">
      <w:pPr>
        <w:pStyle w:val="BodyText"/>
        <w:spacing w:before="5"/>
      </w:pPr>
    </w:p>
    <w:p w:rsidR="004337D6" w:rsidRDefault="004337D6">
      <w:pPr>
        <w:pStyle w:val="ListParagraph"/>
        <w:numPr>
          <w:ilvl w:val="0"/>
          <w:numId w:val="1"/>
        </w:numPr>
        <w:tabs>
          <w:tab w:val="left" w:pos="1104"/>
        </w:tabs>
        <w:ind w:right="209" w:firstLine="708"/>
      </w:pPr>
      <w:r>
        <w:t>L'Editore invierà al Curatore entro il 30 giugno di ogni anno il rendiconto delle copie vendute al 31 dicembre dell'anno precedente. Il Curatore, nel caso lo ritenga opportuno, avrà facoltà di prendere visione della documentazione fornita dai Distributori all’Editore, relativa all’Opera. L'Editore si impegna a liquidare le royalties maturate come da estratto conto entro e non oltre il 30 settembre di ogni anno, dietro rilascio di regolare documento</w:t>
      </w:r>
      <w:r>
        <w:rPr>
          <w:spacing w:val="-5"/>
        </w:rPr>
        <w:t xml:space="preserve"> </w:t>
      </w:r>
      <w:r>
        <w:t>fiscale.</w:t>
      </w:r>
    </w:p>
    <w:p w:rsidR="004337D6" w:rsidRDefault="004337D6">
      <w:pPr>
        <w:pStyle w:val="BodyText"/>
        <w:spacing w:before="3"/>
      </w:pPr>
    </w:p>
    <w:p w:rsidR="004337D6" w:rsidRDefault="004337D6">
      <w:pPr>
        <w:pStyle w:val="ListParagraph"/>
        <w:numPr>
          <w:ilvl w:val="0"/>
          <w:numId w:val="1"/>
        </w:numPr>
        <w:tabs>
          <w:tab w:val="left" w:pos="1150"/>
        </w:tabs>
        <w:ind w:right="210" w:firstLine="708"/>
      </w:pPr>
      <w:r>
        <w:t>Il prezzo di copertina del volume cartaceo viene fissato in Euro 14,00 (quattordici/00), quello del volume elettronico in Euro 8,99 (otto/99). La prima tiratura sarà di 500 (cinquecento) copie, eventualmente stampate in modo progressivo e secondo le richieste di mercato. Eventuali variazioni del prezzo di copertina e della tiratura verranno comunicate al Curatore per</w:t>
      </w:r>
      <w:r>
        <w:rPr>
          <w:spacing w:val="-15"/>
        </w:rPr>
        <w:t xml:space="preserve"> </w:t>
      </w:r>
      <w:r>
        <w:t>iscritto.</w:t>
      </w:r>
    </w:p>
    <w:p w:rsidR="004337D6" w:rsidRDefault="004337D6">
      <w:pPr>
        <w:pStyle w:val="BodyText"/>
        <w:spacing w:before="2"/>
      </w:pPr>
    </w:p>
    <w:p w:rsidR="004337D6" w:rsidRDefault="004337D6">
      <w:pPr>
        <w:pStyle w:val="ListParagraph"/>
        <w:numPr>
          <w:ilvl w:val="0"/>
          <w:numId w:val="1"/>
        </w:numPr>
        <w:tabs>
          <w:tab w:val="left" w:pos="1121"/>
        </w:tabs>
        <w:ind w:right="210" w:firstLine="708"/>
      </w:pPr>
      <w:r>
        <w:t>Qualora la prima tiratura del libro cartaceo vada esaurita, l'Editore ha facoltà di eseguire il numero di edizioni e di ristampe dell'opera che riterrà opportuno, e di decidere il numero di copie e il prezzo di copertina rispetto a ogni nuova edizione e ristampa. Di tali ulteriori edizioni e ristampe l'Editore darà comunicazione scritta al Curatore. Per tali nuove edizioni e ristampe valgono le stesse condizioni qui riportate, escluso l’acquisto di copie da parte del</w:t>
      </w:r>
      <w:r>
        <w:rPr>
          <w:spacing w:val="-7"/>
        </w:rPr>
        <w:t xml:space="preserve"> </w:t>
      </w:r>
      <w:r>
        <w:t>Curatore.</w:t>
      </w:r>
    </w:p>
    <w:p w:rsidR="004337D6" w:rsidRDefault="004337D6">
      <w:pPr>
        <w:pStyle w:val="BodyText"/>
        <w:spacing w:before="3"/>
      </w:pPr>
    </w:p>
    <w:p w:rsidR="004337D6" w:rsidRDefault="004337D6">
      <w:pPr>
        <w:pStyle w:val="ListParagraph"/>
        <w:numPr>
          <w:ilvl w:val="0"/>
          <w:numId w:val="1"/>
        </w:numPr>
        <w:tabs>
          <w:tab w:val="left" w:pos="1132"/>
        </w:tabs>
        <w:ind w:right="211" w:firstLine="708"/>
      </w:pPr>
      <w:r>
        <w:t>La durata del presente contratto è di cinque anni a partire dalla data della sua stipula. I diritti qui ceduti si intendono ceduti esclusivamente all’Editore, il quale non potrà cederli a terzi se non con il consenso scritto del</w:t>
      </w:r>
      <w:r>
        <w:rPr>
          <w:spacing w:val="-1"/>
        </w:rPr>
        <w:t xml:space="preserve"> </w:t>
      </w:r>
      <w:r>
        <w:t>Curatore.</w:t>
      </w:r>
    </w:p>
    <w:p w:rsidR="004337D6" w:rsidRDefault="004337D6">
      <w:pPr>
        <w:pStyle w:val="BodyText"/>
        <w:spacing w:before="2"/>
      </w:pPr>
    </w:p>
    <w:p w:rsidR="004337D6" w:rsidRDefault="004337D6">
      <w:pPr>
        <w:pStyle w:val="ListParagraph"/>
        <w:numPr>
          <w:ilvl w:val="0"/>
          <w:numId w:val="1"/>
        </w:numPr>
        <w:tabs>
          <w:tab w:val="left" w:pos="1135"/>
        </w:tabs>
        <w:ind w:right="211" w:firstLine="708"/>
      </w:pPr>
      <w:r>
        <w:t>Qualora l'edizione cartacea si dimostrasse difficilmente smerciabile, ma non prima di due anni dalla prima pubblicazione, l'Editore, dopo averli offerti al Curatore che avrà 30 (trenta) giorni di tempo per decidere se acquistarli o meno, potrà svendere tutti o parte dei volumi in giacenza, oppure mandarli al macero. Nel caso di svendita la percentuale spettante al Curatore sarà calcolata sul ricavo effettivo e documentato; nel caso di messa al macero nulla sarà dovuto al</w:t>
      </w:r>
      <w:r>
        <w:rPr>
          <w:spacing w:val="-15"/>
        </w:rPr>
        <w:t xml:space="preserve"> </w:t>
      </w:r>
      <w:r>
        <w:t>Curatore.</w:t>
      </w:r>
    </w:p>
    <w:p w:rsidR="004337D6" w:rsidRDefault="004337D6">
      <w:pPr>
        <w:jc w:val="both"/>
        <w:sectPr w:rsidR="004337D6">
          <w:pgSz w:w="12240" w:h="15840"/>
          <w:pgMar w:top="1340" w:right="920" w:bottom="280" w:left="1020" w:header="720" w:footer="720" w:gutter="0"/>
          <w:cols w:space="720"/>
        </w:sectPr>
      </w:pPr>
    </w:p>
    <w:p w:rsidR="004337D6" w:rsidRDefault="004337D6">
      <w:pPr>
        <w:pStyle w:val="ListParagraph"/>
        <w:numPr>
          <w:ilvl w:val="0"/>
          <w:numId w:val="1"/>
        </w:numPr>
        <w:tabs>
          <w:tab w:val="left" w:pos="1284"/>
        </w:tabs>
        <w:spacing w:before="78"/>
        <w:ind w:firstLine="708"/>
      </w:pPr>
      <w:r>
        <w:t>Con la sottoscrizione di questo accordo il Curatore concede a Editrice ZONA facoltà di utilizzare il nome dell'Autore e del Curatore e i loro dati per le sole attività commerciali e di promozione riferibili all'opera in oggetto. Editrice ZONA è tenuta a conservare e gestire i dati dell'Autore e del Curatore di cui entra in possesso secondo quanto disposto dalle vigenti norme nazionali in fatto di privacy e dal Reg. (UE) 2016/79 “General Data Protection Regulation”</w:t>
      </w:r>
      <w:r>
        <w:rPr>
          <w:spacing w:val="-44"/>
        </w:rPr>
        <w:t xml:space="preserve"> </w:t>
      </w:r>
      <w:r>
        <w:t>(GDPR).</w:t>
      </w:r>
    </w:p>
    <w:p w:rsidR="004337D6" w:rsidRDefault="004337D6">
      <w:pPr>
        <w:pStyle w:val="BodyText"/>
        <w:spacing w:before="2"/>
      </w:pPr>
    </w:p>
    <w:p w:rsidR="004337D6" w:rsidRDefault="004337D6">
      <w:pPr>
        <w:pStyle w:val="ListParagraph"/>
        <w:numPr>
          <w:ilvl w:val="0"/>
          <w:numId w:val="1"/>
        </w:numPr>
        <w:tabs>
          <w:tab w:val="left" w:pos="1253"/>
        </w:tabs>
        <w:ind w:right="212" w:firstLine="708"/>
      </w:pPr>
      <w:r>
        <w:rPr>
          <w:spacing w:val="-3"/>
        </w:rPr>
        <w:t xml:space="preserve">Per </w:t>
      </w:r>
      <w:r>
        <w:t>quanto ivi non espressamente previsto varranno le norme generali sul diritto d’autore. Per ogni controversia relativa al presente accordo che non sia possibile risolvere in via amichevole, unico competente sarà il Foro di</w:t>
      </w:r>
      <w:r>
        <w:rPr>
          <w:spacing w:val="-3"/>
        </w:rPr>
        <w:t xml:space="preserve"> </w:t>
      </w:r>
      <w:r>
        <w:t>Genova.</w:t>
      </w:r>
    </w:p>
    <w:p w:rsidR="004337D6" w:rsidRDefault="004337D6">
      <w:pPr>
        <w:pStyle w:val="BodyText"/>
        <w:rPr>
          <w:sz w:val="26"/>
        </w:rPr>
      </w:pPr>
    </w:p>
    <w:p w:rsidR="004337D6" w:rsidRDefault="004337D6">
      <w:pPr>
        <w:pStyle w:val="BodyText"/>
        <w:spacing w:before="220"/>
        <w:ind w:left="115"/>
      </w:pPr>
      <w:r>
        <w:t>Genova, 11 novembre 2019</w:t>
      </w:r>
    </w:p>
    <w:p w:rsidR="004337D6" w:rsidRDefault="004337D6">
      <w:pPr>
        <w:pStyle w:val="BodyText"/>
        <w:rPr>
          <w:sz w:val="26"/>
        </w:rPr>
      </w:pPr>
    </w:p>
    <w:p w:rsidR="004337D6" w:rsidRDefault="004337D6">
      <w:pPr>
        <w:pStyle w:val="Heading1"/>
        <w:tabs>
          <w:tab w:val="left" w:pos="7195"/>
        </w:tabs>
        <w:spacing w:before="218"/>
      </w:pPr>
      <w:r>
        <w:t>L’Editore</w:t>
      </w:r>
      <w:r>
        <w:tab/>
        <w:t>Il Curatore</w:t>
      </w:r>
    </w:p>
    <w:p w:rsidR="004337D6" w:rsidRDefault="004337D6">
      <w:pPr>
        <w:pStyle w:val="BodyText"/>
        <w:rPr>
          <w:b/>
          <w:sz w:val="26"/>
        </w:rPr>
      </w:pPr>
    </w:p>
    <w:p w:rsidR="004337D6" w:rsidRDefault="004337D6">
      <w:pPr>
        <w:pStyle w:val="BodyText"/>
        <w:rPr>
          <w:b/>
          <w:sz w:val="26"/>
        </w:rPr>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sidRPr="00B35182">
        <w:rPr>
          <w:rFonts w:ascii="Garamond" w:hAnsi="Garamond"/>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41.25pt">
            <v:imagedata r:id="rId6" o:title=""/>
          </v:shape>
        </w:pict>
      </w:r>
    </w:p>
    <w:p w:rsidR="004337D6" w:rsidRDefault="004337D6">
      <w:pPr>
        <w:pStyle w:val="BodyText"/>
        <w:spacing w:before="198"/>
        <w:ind w:left="115"/>
      </w:pPr>
      <w:r>
        <w:t>N.B. Si approva specificamente la clausola 11 (Foro competente).</w:t>
      </w:r>
    </w:p>
    <w:p w:rsidR="004337D6" w:rsidRDefault="004337D6">
      <w:pPr>
        <w:pStyle w:val="BodyText"/>
        <w:spacing w:before="1"/>
      </w:pPr>
    </w:p>
    <w:p w:rsidR="004337D6" w:rsidRDefault="004337D6">
      <w:pPr>
        <w:pStyle w:val="Heading1"/>
        <w:tabs>
          <w:tab w:val="left" w:pos="7195"/>
        </w:tabs>
      </w:pPr>
      <w:r>
        <w:t>L’Editore</w:t>
      </w:r>
      <w:r>
        <w:tab/>
        <w:t>Il Curatore</w:t>
      </w:r>
    </w:p>
    <w:p w:rsidR="004337D6" w:rsidRDefault="004337D6">
      <w:pPr>
        <w:pStyle w:val="Heading1"/>
        <w:tabs>
          <w:tab w:val="left" w:pos="7195"/>
        </w:tabs>
      </w:pPr>
    </w:p>
    <w:p w:rsidR="004337D6" w:rsidRDefault="004337D6">
      <w:pPr>
        <w:pStyle w:val="Heading1"/>
        <w:tabs>
          <w:tab w:val="left" w:pos="7195"/>
        </w:tabs>
      </w:pPr>
      <w:r>
        <w:tab/>
      </w:r>
      <w:r w:rsidRPr="00B35182">
        <w:rPr>
          <w:rFonts w:ascii="Garamond" w:hAnsi="Garamond"/>
          <w:sz w:val="20"/>
          <w:szCs w:val="20"/>
        </w:rPr>
        <w:pict>
          <v:shape id="_x0000_i1026" type="#_x0000_t75" style="width:152.25pt;height:41.25pt">
            <v:imagedata r:id="rId6" o:title=""/>
          </v:shape>
        </w:pict>
      </w:r>
    </w:p>
    <w:sectPr w:rsidR="004337D6" w:rsidSect="001B5DBC">
      <w:pgSz w:w="12240" w:h="15840"/>
      <w:pgMar w:top="1340" w:right="9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85CB8"/>
    <w:multiLevelType w:val="hybridMultilevel"/>
    <w:tmpl w:val="FFFFFFFF"/>
    <w:lvl w:ilvl="0" w:tplc="87788410">
      <w:start w:val="1"/>
      <w:numFmt w:val="decimal"/>
      <w:lvlText w:val="%1."/>
      <w:lvlJc w:val="left"/>
      <w:pPr>
        <w:ind w:left="116" w:hanging="302"/>
      </w:pPr>
      <w:rPr>
        <w:rFonts w:ascii="Tahoma" w:eastAsia="Times New Roman" w:hAnsi="Tahoma" w:cs="Tahoma" w:hint="default"/>
        <w:b/>
        <w:bCs/>
        <w:spacing w:val="-1"/>
        <w:w w:val="100"/>
        <w:sz w:val="22"/>
        <w:szCs w:val="22"/>
      </w:rPr>
    </w:lvl>
    <w:lvl w:ilvl="1" w:tplc="E5F224A2">
      <w:numFmt w:val="bullet"/>
      <w:lvlText w:val="•"/>
      <w:lvlJc w:val="left"/>
      <w:pPr>
        <w:ind w:left="1138" w:hanging="302"/>
      </w:pPr>
      <w:rPr>
        <w:rFonts w:hint="default"/>
      </w:rPr>
    </w:lvl>
    <w:lvl w:ilvl="2" w:tplc="A190AACE">
      <w:numFmt w:val="bullet"/>
      <w:lvlText w:val="•"/>
      <w:lvlJc w:val="left"/>
      <w:pPr>
        <w:ind w:left="2156" w:hanging="302"/>
      </w:pPr>
      <w:rPr>
        <w:rFonts w:hint="default"/>
      </w:rPr>
    </w:lvl>
    <w:lvl w:ilvl="3" w:tplc="432C806C">
      <w:numFmt w:val="bullet"/>
      <w:lvlText w:val="•"/>
      <w:lvlJc w:val="left"/>
      <w:pPr>
        <w:ind w:left="3174" w:hanging="302"/>
      </w:pPr>
      <w:rPr>
        <w:rFonts w:hint="default"/>
      </w:rPr>
    </w:lvl>
    <w:lvl w:ilvl="4" w:tplc="280227BC">
      <w:numFmt w:val="bullet"/>
      <w:lvlText w:val="•"/>
      <w:lvlJc w:val="left"/>
      <w:pPr>
        <w:ind w:left="4192" w:hanging="302"/>
      </w:pPr>
      <w:rPr>
        <w:rFonts w:hint="default"/>
      </w:rPr>
    </w:lvl>
    <w:lvl w:ilvl="5" w:tplc="A5D45F9E">
      <w:numFmt w:val="bullet"/>
      <w:lvlText w:val="•"/>
      <w:lvlJc w:val="left"/>
      <w:pPr>
        <w:ind w:left="5210" w:hanging="302"/>
      </w:pPr>
      <w:rPr>
        <w:rFonts w:hint="default"/>
      </w:rPr>
    </w:lvl>
    <w:lvl w:ilvl="6" w:tplc="92C87C08">
      <w:numFmt w:val="bullet"/>
      <w:lvlText w:val="•"/>
      <w:lvlJc w:val="left"/>
      <w:pPr>
        <w:ind w:left="6228" w:hanging="302"/>
      </w:pPr>
      <w:rPr>
        <w:rFonts w:hint="default"/>
      </w:rPr>
    </w:lvl>
    <w:lvl w:ilvl="7" w:tplc="A77CC734">
      <w:numFmt w:val="bullet"/>
      <w:lvlText w:val="•"/>
      <w:lvlJc w:val="left"/>
      <w:pPr>
        <w:ind w:left="7246" w:hanging="302"/>
      </w:pPr>
      <w:rPr>
        <w:rFonts w:hint="default"/>
      </w:rPr>
    </w:lvl>
    <w:lvl w:ilvl="8" w:tplc="B624FE1A">
      <w:numFmt w:val="bullet"/>
      <w:lvlText w:val="•"/>
      <w:lvlJc w:val="left"/>
      <w:pPr>
        <w:ind w:left="8264" w:hanging="30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DBC"/>
    <w:rsid w:val="001B5DBC"/>
    <w:rsid w:val="004337D6"/>
    <w:rsid w:val="004503AC"/>
    <w:rsid w:val="004828ED"/>
    <w:rsid w:val="00B35182"/>
    <w:rsid w:val="00BB347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BC"/>
    <w:pPr>
      <w:widowControl w:val="0"/>
      <w:autoSpaceDE w:val="0"/>
      <w:autoSpaceDN w:val="0"/>
    </w:pPr>
    <w:rPr>
      <w:rFonts w:ascii="Tahoma" w:hAnsi="Tahoma" w:cs="Tahoma"/>
    </w:rPr>
  </w:style>
  <w:style w:type="paragraph" w:styleId="Heading1">
    <w:name w:val="heading 1"/>
    <w:basedOn w:val="Normal"/>
    <w:link w:val="Heading1Char"/>
    <w:uiPriority w:val="99"/>
    <w:qFormat/>
    <w:rsid w:val="001B5DBC"/>
    <w:pPr>
      <w:ind w:left="115"/>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B88"/>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1B5DBC"/>
  </w:style>
  <w:style w:type="character" w:customStyle="1" w:styleId="BodyTextChar">
    <w:name w:val="Body Text Char"/>
    <w:basedOn w:val="DefaultParagraphFont"/>
    <w:link w:val="BodyText"/>
    <w:uiPriority w:val="99"/>
    <w:semiHidden/>
    <w:rsid w:val="005B7B88"/>
    <w:rPr>
      <w:rFonts w:ascii="Tahoma" w:hAnsi="Tahoma" w:cs="Tahoma"/>
    </w:rPr>
  </w:style>
  <w:style w:type="paragraph" w:styleId="ListParagraph">
    <w:name w:val="List Paragraph"/>
    <w:basedOn w:val="Normal"/>
    <w:uiPriority w:val="99"/>
    <w:qFormat/>
    <w:rsid w:val="001B5DBC"/>
    <w:pPr>
      <w:ind w:left="116" w:right="207" w:firstLine="708"/>
      <w:jc w:val="both"/>
    </w:pPr>
  </w:style>
  <w:style w:type="paragraph" w:customStyle="1" w:styleId="TableParagraph">
    <w:name w:val="Table Paragraph"/>
    <w:basedOn w:val="Normal"/>
    <w:uiPriority w:val="99"/>
    <w:rsid w:val="001B5D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ditricezon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1226</Words>
  <Characters>6992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dc:creator>
  <cp:keywords/>
  <dc:description/>
  <cp:lastModifiedBy>Menotti</cp:lastModifiedBy>
  <cp:revision>2</cp:revision>
  <dcterms:created xsi:type="dcterms:W3CDTF">2019-11-20T13:52:00Z</dcterms:created>
  <dcterms:modified xsi:type="dcterms:W3CDTF">2019-11-20T13:58:00Z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