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D487" w14:textId="77777777" w:rsidR="00EF2153" w:rsidRDefault="00000000">
      <w:pPr>
        <w:pStyle w:val="Titolo1"/>
        <w:ind w:firstLine="0"/>
        <w:rPr>
          <w:b w:val="0"/>
          <w:bCs/>
        </w:rPr>
      </w:pPr>
      <w:r>
        <w:rPr>
          <w:b w:val="0"/>
          <w:bCs/>
        </w:rPr>
        <w:t>Giorgio Toso (Università di Genova)</w:t>
      </w:r>
    </w:p>
    <w:p w14:paraId="348A3894" w14:textId="77777777" w:rsidR="00EF2153" w:rsidRDefault="00EF2153">
      <w:pPr>
        <w:pStyle w:val="Textbody"/>
      </w:pPr>
    </w:p>
    <w:p w14:paraId="35A95138" w14:textId="77777777" w:rsidR="00EF2153" w:rsidRDefault="00000000">
      <w:pPr>
        <w:pStyle w:val="Titolo1"/>
        <w:ind w:firstLine="0"/>
      </w:pPr>
      <w:r>
        <w:rPr>
          <w:rStyle w:val="Carpredefinitoparagrafo"/>
          <w:i/>
          <w:iCs/>
        </w:rPr>
        <w:t>La letteratura ligure in genovese e nei dialetti locali. Profilo storico e antologia</w:t>
      </w:r>
    </w:p>
    <w:p w14:paraId="3B9DA7D0" w14:textId="77777777" w:rsidR="00EF2153" w:rsidRDefault="00EF2153">
      <w:pPr>
        <w:pStyle w:val="Textbody"/>
      </w:pPr>
    </w:p>
    <w:p w14:paraId="2A3BA191" w14:textId="77777777" w:rsidR="00EF2153" w:rsidRDefault="00000000">
      <w:r>
        <w:t>Riguardo all’opera trattata in questo contributo, si fa riferimento all’edizione risalente al 2009 e pubblicata presso la Microart’s di Recco</w:t>
      </w:r>
      <w:r>
        <w:rPr>
          <w:rStyle w:val="Rimandonotaapidipagina"/>
        </w:rPr>
        <w:footnoteReference w:id="1"/>
      </w:r>
      <w:r>
        <w:t>, aggiornamento e revisione complessiva delle precedenti opere risalenti ai trienni 1989-1991</w:t>
      </w:r>
      <w:r>
        <w:rPr>
          <w:rStyle w:val="Rimandonotaapidipagina"/>
        </w:rPr>
        <w:footnoteReference w:id="2"/>
      </w:r>
      <w:r>
        <w:t xml:space="preserve"> e 1999-2001</w:t>
      </w:r>
      <w:r>
        <w:rPr>
          <w:rStyle w:val="Rimandonotaapidipagina"/>
        </w:rPr>
        <w:footnoteReference w:id="3"/>
      </w:r>
      <w:r>
        <w:t>. Si tratta, nel suo complesso, di un lavoro diviso in 7 volumi, che ripercorrono le vicende e l’evoluzione della letteratura nell’area ligure dalle origini al secolo scorso.</w:t>
      </w:r>
    </w:p>
    <w:p w14:paraId="4CB20AB2" w14:textId="77777777" w:rsidR="00EF2153" w:rsidRDefault="00000000">
      <w:r>
        <w:t>Più nello specifico, si trovano quindi trattazioni inerenti all’uso del latino in epoca medievale, alle influenze della produzione provenzale e agli esordi della versione scritta delle parlate locali (vol. I); alle opere di stampo religioso e civile risalenti al basso Medioevo, in particolare al XIV e al XV secolo (vol. II); allo sviluppo della prosa e ai grandi autori del Cinquecento (vol. III); al fecondo periodo del barocco (vol. IV); alla nuova poesia di stampo civile-patriottico del Settecento e alla produzione nelle varianti liguri “periferiche” (vol. V); allo sviluppo del realismo e delle forme romanzate nell’Ottocento (vol. VI) e infine alle forme poetiche, teatrali e liriche del Novecento (vol. VII).</w:t>
      </w:r>
    </w:p>
    <w:p w14:paraId="65513264" w14:textId="77777777" w:rsidR="00EF2153" w:rsidRDefault="00000000">
      <w:r>
        <w:t xml:space="preserve">Ovviamente, vista anche la tematica principale di gran parte delle opere trattate, sono presenti puntuali e costanti riferimenti </w:t>
      </w:r>
      <w:r>
        <w:lastRenderedPageBreak/>
        <w:t>alla storia ligure e genovese, a partire dalla partecipazione da protagonisti dei genovesi alle crociate e dalla nascita e sviluppo dell’impero marittimo-commerciale</w:t>
      </w:r>
      <w:r>
        <w:rPr>
          <w:rStyle w:val="Rimandonotaapidipagina"/>
        </w:rPr>
        <w:footnoteReference w:id="4"/>
      </w:r>
      <w:r>
        <w:t>, fino al rinnovato ruolo politico-economico dell’età moderna</w:t>
      </w:r>
      <w:r>
        <w:rPr>
          <w:rStyle w:val="Rimandonotaapidipagina"/>
        </w:rPr>
        <w:footnoteReference w:id="5"/>
      </w:r>
      <w:r>
        <w:t>, con una particolare attenzione per i fatti della guerra di Successione austriaca in Liguria (1745-1748)</w:t>
      </w:r>
      <w:r>
        <w:rPr>
          <w:rStyle w:val="Rimandonotaapidipagina"/>
        </w:rPr>
        <w:footnoteReference w:id="6"/>
      </w:r>
      <w:r>
        <w:t>, fino al Risorgimento e all’epoca successiva</w:t>
      </w:r>
      <w:r>
        <w:rPr>
          <w:rStyle w:val="Rimandonotaapidipagina"/>
        </w:rPr>
        <w:footnoteReference w:id="7"/>
      </w:r>
      <w:r>
        <w:t>.</w:t>
      </w:r>
    </w:p>
    <w:p w14:paraId="77071D76" w14:textId="77777777" w:rsidR="00EF2153" w:rsidRDefault="00000000">
      <w:r>
        <w:t>Essendo questa una storia della letteratura, non possono ovviamente mancare le schede dedicate agli autori, più o meno noti, e, soprattutto, le selezioni di testi. Nel I volume, accanto a testi latini come gli annali di Caffaro e le produzioni di Ursone da Sestri e Iacopo da Varagine</w:t>
      </w:r>
      <w:r>
        <w:rPr>
          <w:rStyle w:val="Rimandonotaapidipagina"/>
        </w:rPr>
        <w:footnoteReference w:id="8"/>
      </w:r>
      <w:r>
        <w:t>, sono quindi esposti versi del cosiddetto Anonimo genovese (fine Duecento-inizio Trecento)</w:t>
      </w:r>
      <w:r>
        <w:rPr>
          <w:rStyle w:val="Rimandonotaapidipagina"/>
        </w:rPr>
        <w:footnoteReference w:id="9"/>
      </w:r>
      <w:r>
        <w:t>; all’insieme di autori considerati nel II volume fanno poi seguito, nel III, le più ampie trattazioni dedicate a Paolo Foglietta e Barnaba Cigala</w:t>
      </w:r>
      <w:r>
        <w:rPr>
          <w:rStyle w:val="Rimandonotaapidipagina"/>
        </w:rPr>
        <w:footnoteReference w:id="10"/>
      </w:r>
      <w:r>
        <w:t>: si tratta in gran parte, in quest’ultimo caso, di testi relativi al navalismo e alla messa in discussione, a cavallo tra il Cinquecento e il Seicento, della stretta alleanza che legava la Repubblica alla Spagna, con un dibattito bruscamente terminato con il bombardamento francese del 1684</w:t>
      </w:r>
      <w:r>
        <w:rPr>
          <w:rStyle w:val="Rimandonotaapidipagina"/>
        </w:rPr>
        <w:footnoteReference w:id="11"/>
      </w:r>
      <w:r>
        <w:t xml:space="preserve">. </w:t>
      </w:r>
    </w:p>
    <w:p w14:paraId="670230B9" w14:textId="77777777" w:rsidR="00EF2153" w:rsidRDefault="00000000">
      <w:r>
        <w:lastRenderedPageBreak/>
        <w:t>Nel IV volume troviamo, dopo rimandi a figure come Gabriello Chiabrera o Anton Giulio Brignole Sale</w:t>
      </w:r>
      <w:r>
        <w:rPr>
          <w:rStyle w:val="Rimandonotaapidipagina"/>
        </w:rPr>
        <w:footnoteReference w:id="12"/>
      </w:r>
      <w:r>
        <w:t xml:space="preserve">, un importante spazio riservato a Gian Giacomo Cavalli e alla sua opera principale, </w:t>
      </w:r>
      <w:r>
        <w:rPr>
          <w:rStyle w:val="Carpredefinitoparagrafo"/>
          <w:i/>
          <w:iCs/>
        </w:rPr>
        <w:t>Ra cittara zeneize</w:t>
      </w:r>
      <w:r>
        <w:rPr>
          <w:rStyle w:val="Rimandonotaapidipagina"/>
          <w:i/>
          <w:iCs/>
        </w:rPr>
        <w:footnoteReference w:id="13"/>
      </w:r>
      <w:r>
        <w:t>, successivamente ripubblicata in una curatela risalente al 2021</w:t>
      </w:r>
      <w:r>
        <w:rPr>
          <w:rStyle w:val="Rimandonotaapidipagina"/>
        </w:rPr>
        <w:footnoteReference w:id="14"/>
      </w:r>
      <w:r>
        <w:t>. Il V volume è in gran parte inerente alla produzione patriottica legata alle vittorie navali contro i corsari barbareschi, ancora nel Settecento principali avversari delle marinerie rivierasche</w:t>
      </w:r>
      <w:r>
        <w:rPr>
          <w:rStyle w:val="Rimandonotaapidipagina"/>
        </w:rPr>
        <w:footnoteReference w:id="15"/>
      </w:r>
      <w:r>
        <w:t>, e alla già citata guerra di Successione austriaca, con le opere di Stefano De Franchi</w:t>
      </w:r>
      <w:r>
        <w:rPr>
          <w:rStyle w:val="Rimandonotaapidipagina"/>
        </w:rPr>
        <w:footnoteReference w:id="16"/>
      </w:r>
      <w:r>
        <w:t>. Per quanto riguarda l’Ottocento, sono presenti riferimenti soprattutto a Martino Piaggio e Niccolò Bacigalupo</w:t>
      </w:r>
      <w:r>
        <w:rPr>
          <w:rStyle w:val="Rimandonotaapidipagina"/>
        </w:rPr>
        <w:footnoteReference w:id="17"/>
      </w:r>
      <w:r>
        <w:t>, per arrivare infine alla più stretta contemporaneità dell’ultimo volume.</w:t>
      </w:r>
    </w:p>
    <w:p w14:paraId="5A1428F5" w14:textId="77777777" w:rsidR="00EF2153" w:rsidRDefault="00000000">
      <w:r>
        <w:t>Si tratta, soprattutto per le opere di età medievale e moderna, almeno in parte di testi ripresi direttamente dalle versioni originali, conservate in forma manoscritta o stampata, in archivi e biblioteche. In conclusione a questo breve contributo, si cita testualmente un brano tratto dalla prefazione dell’opera:</w:t>
      </w:r>
    </w:p>
    <w:p w14:paraId="52743397" w14:textId="77777777" w:rsidR="00EF2153" w:rsidRDefault="00EF2153"/>
    <w:p w14:paraId="4EEC19F8" w14:textId="77777777" w:rsidR="00EF2153" w:rsidRDefault="00000000">
      <w:pPr>
        <w:pStyle w:val="CITAZIONE"/>
      </w:pPr>
      <w:r>
        <w:lastRenderedPageBreak/>
        <w:t>La sua letteratura [del genovese], non paragonabile a quella italiana, non si pone neppure al livello di espressioni dialettali di altre regioni o singole località: e questo non per ragioni di ordine estetico e men che meno antropologico, ma di significato storico, di sviluppo e di struttura. Del resto, studiare una letteratura regionale significa, in larga misura, studiare la storia linguistica del territorio e della società in cui essa si svolge […] La storia linguistico-letteraria dell’espressione genovese così disegnata non risulterà troppo dissimile, allora, da quella di altre tradizioni regionali europee, soprattutto per quanto riguarda il rapporto con le grandi lingue di cultura – spagnolo, francese, italiano, tedesco, inglese – che fin da tempi remoti si dividono lo spazio continentale</w:t>
      </w:r>
      <w:r>
        <w:rPr>
          <w:rStyle w:val="Rimandonotaapidipagina"/>
        </w:rPr>
        <w:footnoteReference w:id="18"/>
      </w:r>
      <w:r>
        <w:t>.</w:t>
      </w:r>
    </w:p>
    <w:p w14:paraId="52AD316F" w14:textId="77777777" w:rsidR="00EF2153" w:rsidRDefault="00EF2153"/>
    <w:p w14:paraId="594E5035" w14:textId="77777777" w:rsidR="00EF2153" w:rsidRDefault="00EF2153">
      <w:pPr>
        <w:pStyle w:val="Footnote"/>
      </w:pPr>
    </w:p>
    <w:sectPr w:rsidR="00EF2153">
      <w:footerReference w:type="default" r:id="rId6"/>
      <w:pgSz w:w="7937" w:h="11339"/>
      <w:pgMar w:top="850" w:right="850" w:bottom="1416" w:left="850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64F9" w14:textId="77777777" w:rsidR="00CD2E54" w:rsidRDefault="00CD2E54">
      <w:r>
        <w:separator/>
      </w:r>
    </w:p>
  </w:endnote>
  <w:endnote w:type="continuationSeparator" w:id="0">
    <w:p w14:paraId="588BAF87" w14:textId="77777777" w:rsidR="00CD2E54" w:rsidRDefault="00CD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8B2B" w14:textId="77777777" w:rsidR="00263651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FC74" w14:textId="77777777" w:rsidR="00CD2E54" w:rsidRDefault="00CD2E54">
      <w:r>
        <w:rPr>
          <w:color w:val="000000"/>
        </w:rPr>
        <w:separator/>
      </w:r>
    </w:p>
  </w:footnote>
  <w:footnote w:type="continuationSeparator" w:id="0">
    <w:p w14:paraId="62337CE3" w14:textId="77777777" w:rsidR="00CD2E54" w:rsidRDefault="00CD2E54">
      <w:r>
        <w:continuationSeparator/>
      </w:r>
    </w:p>
  </w:footnote>
  <w:footnote w:id="1">
    <w:p w14:paraId="3A2DBE93" w14:textId="77777777" w:rsidR="00EF2153" w:rsidRDefault="00000000">
      <w:pPr>
        <w:pStyle w:val="Footnote"/>
      </w:pPr>
      <w:r>
        <w:rPr>
          <w:rStyle w:val="Funotenzeichen"/>
        </w:rPr>
        <w:footnoteRef/>
      </w:r>
      <w:r>
        <w:t xml:space="preserve"> Toso F., </w:t>
      </w:r>
      <w:r>
        <w:rPr>
          <w:rStyle w:val="Carpredefinitoparagrafo"/>
          <w:i/>
          <w:iCs/>
        </w:rPr>
        <w:t>La letteratura ligure in genovese e nei dialetti locali. Profilo storico e antologia</w:t>
      </w:r>
      <w:r>
        <w:t xml:space="preserve">, Recco, Le Mani-Microart’s, 2009, 7 voll. Da ora in poi si farà riferimento al testo con </w:t>
      </w:r>
      <w:r>
        <w:rPr>
          <w:rStyle w:val="Carpredefinitoparagrafo"/>
          <w:i/>
          <w:iCs/>
        </w:rPr>
        <w:t>Letteratura</w:t>
      </w:r>
      <w:r>
        <w:t>.</w:t>
      </w:r>
    </w:p>
  </w:footnote>
  <w:footnote w:id="2">
    <w:p w14:paraId="07F4EF56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Toso F., </w:t>
      </w:r>
      <w:r>
        <w:rPr>
          <w:rStyle w:val="Carpredefinitoparagrafo"/>
          <w:i/>
          <w:iCs/>
        </w:rPr>
        <w:t>Letteratura genovese e ligure</w:t>
      </w:r>
      <w:r>
        <w:t>, Genova, Marietti, 1989-1991, 6 voll.</w:t>
      </w:r>
    </w:p>
  </w:footnote>
  <w:footnote w:id="3">
    <w:p w14:paraId="5A8E793A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rPr>
          <w:rStyle w:val="Carpredefinitoparagrafo"/>
          <w:rFonts w:cs="Times New Roman"/>
        </w:rPr>
        <w:t xml:space="preserve"> Toso F., </w:t>
      </w:r>
      <w:r>
        <w:rPr>
          <w:rStyle w:val="Carpredefinitoparagrafo"/>
          <w:rFonts w:cs="Times New Roman"/>
          <w:i/>
          <w:iCs/>
        </w:rPr>
        <w:t>La letteratura in genovese. Ottocento anni di storia, arte, cultura e lingua in Liguria</w:t>
      </w:r>
      <w:r>
        <w:rPr>
          <w:rStyle w:val="Carpredefinitoparagrafo"/>
          <w:rFonts w:cs="Times New Roman"/>
        </w:rPr>
        <w:t>, Recco, Le Mani-Microart’s, 1999-2001, 3 voll.</w:t>
      </w:r>
    </w:p>
  </w:footnote>
  <w:footnote w:id="4">
    <w:p w14:paraId="26CD8EBF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rPr>
          <w:rStyle w:val="Carpredefinitoparagrafo"/>
          <w:rFonts w:cs="Times New Roman"/>
        </w:rPr>
        <w:t xml:space="preserve"> Musarra A., </w:t>
      </w:r>
      <w:r>
        <w:rPr>
          <w:rStyle w:val="Carpredefinitoparagrafo"/>
          <w:rFonts w:cs="Times New Roman"/>
          <w:i/>
          <w:iCs/>
        </w:rPr>
        <w:t>Genova e il mare nel medioevo</w:t>
      </w:r>
      <w:r>
        <w:rPr>
          <w:rStyle w:val="Carpredefinitoparagrafo"/>
          <w:rFonts w:cs="Times New Roman"/>
        </w:rPr>
        <w:t>, Bologna, Il Mulino, 2015</w:t>
      </w:r>
    </w:p>
  </w:footnote>
  <w:footnote w:id="5">
    <w:p w14:paraId="36EA05B6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Costantini C., </w:t>
      </w:r>
      <w:r>
        <w:rPr>
          <w:rStyle w:val="Carpredefinitoparagrafo"/>
          <w:i/>
          <w:iCs/>
        </w:rPr>
        <w:t>La Repubblica di Genova in età moderna</w:t>
      </w:r>
      <w:r>
        <w:t xml:space="preserve">, Torino, Utet, 1978; Bitossi C., </w:t>
      </w:r>
      <w:r>
        <w:rPr>
          <w:rStyle w:val="Carpredefinitoparagrafo"/>
          <w:i/>
          <w:iCs/>
        </w:rPr>
        <w:t>Il governo dei magnifici. Patriziato e politica a Genova fra Cinque e Seicento</w:t>
      </w:r>
      <w:r>
        <w:t>, Genova, Ecig, 1990.</w:t>
      </w:r>
    </w:p>
  </w:footnote>
  <w:footnote w:id="6">
    <w:p w14:paraId="4AE9E62B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Bitossi C., Paolocci C. (a cura di), </w:t>
      </w:r>
      <w:r>
        <w:rPr>
          <w:rStyle w:val="Carpredefinitoparagrafo"/>
          <w:i/>
          <w:iCs/>
        </w:rPr>
        <w:t>Genova, 1746: una città di antico regime tra guerra e rivolta</w:t>
      </w:r>
      <w:r>
        <w:t>, Genova, Biblioteca Franzoniana, 1998, 2 voll.</w:t>
      </w:r>
    </w:p>
  </w:footnote>
  <w:footnote w:id="7">
    <w:p w14:paraId="0A2FCB4D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Tonizzi, M. E., </w:t>
      </w:r>
      <w:r>
        <w:rPr>
          <w:rStyle w:val="Carpredefinitoparagrafo"/>
          <w:i/>
          <w:iCs/>
        </w:rPr>
        <w:t>Genova nell’Ottocento. Da Napoleone all’Unità 1805-1861</w:t>
      </w:r>
      <w:r>
        <w:t>, Soveria Mannelli, Rubbettino, 2013.</w:t>
      </w:r>
    </w:p>
  </w:footnote>
  <w:footnote w:id="8">
    <w:p w14:paraId="66970DFB" w14:textId="77777777" w:rsidR="00EF2153" w:rsidRDefault="00000000">
      <w:pPr>
        <w:pStyle w:val="Testonotaapidipagina"/>
        <w:ind w:firstLine="170"/>
      </w:pPr>
      <w:r>
        <w:rPr>
          <w:rStyle w:val="Funotenzeichen"/>
        </w:rPr>
        <w:footnoteRef/>
      </w:r>
      <w:r>
        <w:t xml:space="preserve"> </w:t>
      </w:r>
      <w:r>
        <w:rPr>
          <w:rStyle w:val="Carpredefinitoparagrafo"/>
          <w:i/>
          <w:iCs/>
        </w:rPr>
        <w:t>Letteratura</w:t>
      </w:r>
      <w:r>
        <w:t>, vol. I, pp. 49-71.</w:t>
      </w:r>
    </w:p>
  </w:footnote>
  <w:footnote w:id="9">
    <w:p w14:paraId="4C003B30" w14:textId="77777777" w:rsidR="00EF2153" w:rsidRDefault="00000000">
      <w:pPr>
        <w:pStyle w:val="Testonotaapidipagina"/>
        <w:ind w:firstLine="170"/>
      </w:pPr>
      <w:r>
        <w:rPr>
          <w:rStyle w:val="Funotenzeichen"/>
        </w:rPr>
        <w:footnoteRef/>
      </w:r>
      <w:r>
        <w:t xml:space="preserve"> Ivi, pp. 116-170.</w:t>
      </w:r>
    </w:p>
  </w:footnote>
  <w:footnote w:id="10">
    <w:p w14:paraId="3FEB7495" w14:textId="77777777" w:rsidR="00EF2153" w:rsidRDefault="00000000">
      <w:pPr>
        <w:pStyle w:val="Testonotaapidipagina"/>
        <w:ind w:firstLine="170"/>
      </w:pPr>
      <w:r>
        <w:rPr>
          <w:rStyle w:val="Funotenzeichen"/>
        </w:rPr>
        <w:footnoteRef/>
      </w:r>
      <w:r>
        <w:t xml:space="preserve"> </w:t>
      </w:r>
      <w:r>
        <w:rPr>
          <w:rStyle w:val="Carpredefinitoparagrafo"/>
          <w:i/>
          <w:iCs/>
        </w:rPr>
        <w:t>Letteratura</w:t>
      </w:r>
      <w:r>
        <w:t>, vol. III, pp. 53-119.</w:t>
      </w:r>
    </w:p>
  </w:footnote>
  <w:footnote w:id="11">
    <w:p w14:paraId="46E4514B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Bitossi C., </w:t>
      </w:r>
      <w:r>
        <w:rPr>
          <w:rStyle w:val="Carpredefinitoparagrafo"/>
          <w:i/>
          <w:iCs/>
        </w:rPr>
        <w:t>1684. La Repubblica sfida il Re Sole</w:t>
      </w:r>
      <w:r>
        <w:t xml:space="preserve">, in </w:t>
      </w:r>
      <w:r>
        <w:rPr>
          <w:rStyle w:val="Carpredefinitoparagrafo"/>
          <w:i/>
          <w:iCs/>
        </w:rPr>
        <w:t>Gli anni di Genova</w:t>
      </w:r>
      <w:r>
        <w:t xml:space="preserve">, Roma-Bari, Laterza, 2010, pp. 123-150. Sul navalismo, Bitossi C., </w:t>
      </w:r>
      <w:r>
        <w:rPr>
          <w:rStyle w:val="Carpredefinitoparagrafo"/>
          <w:i/>
          <w:iCs/>
        </w:rPr>
        <w:t>Il Genio ligure risvegliato. La potenza navale nel discorso politico genovese del Seicento</w:t>
      </w:r>
      <w:r>
        <w:t xml:space="preserve">, in Cantù F. (a cura di), </w:t>
      </w:r>
      <w:r>
        <w:rPr>
          <w:rStyle w:val="Carpredefinitoparagrafo"/>
          <w:i/>
          <w:iCs/>
        </w:rPr>
        <w:t>I linguaggi del potere nell’età barocca</w:t>
      </w:r>
      <w:r>
        <w:t xml:space="preserve">, vol. II, Roma, Viella, 2009, pp. 81-109; Toso G., </w:t>
      </w:r>
      <w:r>
        <w:rPr>
          <w:rStyle w:val="Carpredefinitoparagrafo"/>
          <w:i/>
          <w:iCs/>
        </w:rPr>
        <w:t>Il ritorno al mare. Dibattito politico e letteratura sul riarmo navale a Genova tra il XVI e il XVII secolo</w:t>
      </w:r>
      <w:r>
        <w:t>, in «Atti della Società Ligure di Storia Patria», n.s., LX (2020), pp. 175-222.</w:t>
      </w:r>
    </w:p>
  </w:footnote>
  <w:footnote w:id="12">
    <w:p w14:paraId="400F89EE" w14:textId="77777777" w:rsidR="00EF2153" w:rsidRDefault="00000000">
      <w:pPr>
        <w:pStyle w:val="Testonotaapidipagina"/>
        <w:ind w:firstLine="170"/>
      </w:pPr>
      <w:r>
        <w:rPr>
          <w:rStyle w:val="Funotenzeichen"/>
        </w:rPr>
        <w:footnoteRef/>
      </w:r>
      <w:r>
        <w:t xml:space="preserve"> </w:t>
      </w:r>
      <w:r>
        <w:rPr>
          <w:rStyle w:val="Carpredefinitoparagrafo"/>
          <w:i/>
          <w:iCs/>
        </w:rPr>
        <w:t>Letteratura</w:t>
      </w:r>
      <w:r>
        <w:t>, vol. IV, pp. 9-14 e 21-24.</w:t>
      </w:r>
    </w:p>
  </w:footnote>
  <w:footnote w:id="13">
    <w:p w14:paraId="2F2B4794" w14:textId="77777777" w:rsidR="00EF2153" w:rsidRDefault="00000000">
      <w:pPr>
        <w:pStyle w:val="Testonotaapidipagina"/>
        <w:ind w:firstLine="170"/>
      </w:pPr>
      <w:r>
        <w:rPr>
          <w:rStyle w:val="Funotenzeichen"/>
        </w:rPr>
        <w:footnoteRef/>
      </w:r>
      <w:r>
        <w:t xml:space="preserve"> Ivi, pp. 43-88.</w:t>
      </w:r>
    </w:p>
  </w:footnote>
  <w:footnote w:id="14">
    <w:p w14:paraId="2A65C39F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G. G. Cavalli, </w:t>
      </w:r>
      <w:r>
        <w:rPr>
          <w:rStyle w:val="Carpredefinitoparagrafo"/>
          <w:i/>
          <w:iCs/>
        </w:rPr>
        <w:t>Ra cittara zeneize. Poesie scelte</w:t>
      </w:r>
      <w:r>
        <w:t>, a cura di F. Toso, Alessandria, Edizioni dell’Orso, 2021.</w:t>
      </w:r>
    </w:p>
  </w:footnote>
  <w:footnote w:id="15">
    <w:p w14:paraId="1D0E6FD9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Beri E., </w:t>
      </w:r>
      <w:r>
        <w:rPr>
          <w:rStyle w:val="Carpredefinitoparagrafo"/>
          <w:i/>
          <w:iCs/>
        </w:rPr>
        <w:t>Forme di difesa e pratiche di autoprotezione: i genovesi di fronte alla corsa barbaresca</w:t>
      </w:r>
      <w:r>
        <w:t xml:space="preserve"> </w:t>
      </w:r>
      <w:r>
        <w:rPr>
          <w:rStyle w:val="Carpredefinitoparagrafo"/>
          <w:i/>
          <w:iCs/>
        </w:rPr>
        <w:t>XVII-XVIII sec.</w:t>
      </w:r>
      <w:r>
        <w:t xml:space="preserve">, in </w:t>
      </w:r>
      <w:r>
        <w:rPr>
          <w:rStyle w:val="Carpredefinitoparagrafo"/>
          <w:rFonts w:cs="Times New Roman"/>
        </w:rPr>
        <w:t>«</w:t>
      </w:r>
      <w:r>
        <w:t>Progressus. Rivista di storia, scrittura e società</w:t>
      </w:r>
      <w:r>
        <w:rPr>
          <w:rStyle w:val="Carpredefinitoparagrafo"/>
          <w:rFonts w:cs="Times New Roman"/>
        </w:rPr>
        <w:t>»</w:t>
      </w:r>
      <w:r>
        <w:t xml:space="preserve">, 1 (2020), pp. 121-144. Per una critica storica di questi testi, Toso G., </w:t>
      </w:r>
      <w:r>
        <w:rPr>
          <w:rStyle w:val="Carpredefinitoparagrafo"/>
          <w:i/>
          <w:iCs/>
        </w:rPr>
        <w:t>Viva sempre a rossa croxe. La guerra sul mare nel Settecento ligure attraverso la documentazione letteraria in genovese</w:t>
      </w:r>
      <w:r>
        <w:t>, Savona, Insedicesimo, 2019.</w:t>
      </w:r>
    </w:p>
  </w:footnote>
  <w:footnote w:id="16">
    <w:p w14:paraId="4DE59D71" w14:textId="77777777" w:rsidR="00EF2153" w:rsidRDefault="00000000">
      <w:pPr>
        <w:pStyle w:val="Testonotaapidipagina"/>
        <w:ind w:firstLine="170"/>
      </w:pPr>
      <w:r>
        <w:rPr>
          <w:rStyle w:val="Funotenzeichen"/>
        </w:rPr>
        <w:footnoteRef/>
      </w:r>
      <w:r>
        <w:t xml:space="preserve"> </w:t>
      </w:r>
      <w:r>
        <w:rPr>
          <w:rStyle w:val="Carpredefinitoparagrafo"/>
          <w:i/>
          <w:iCs/>
        </w:rPr>
        <w:t>Letteratura</w:t>
      </w:r>
      <w:r>
        <w:t>, vol. V, pp. 53-83.</w:t>
      </w:r>
    </w:p>
  </w:footnote>
  <w:footnote w:id="17">
    <w:p w14:paraId="7CD5C812" w14:textId="77777777" w:rsidR="00EF2153" w:rsidRDefault="00000000">
      <w:pPr>
        <w:pStyle w:val="Testonotaapidipagina"/>
        <w:ind w:firstLine="170"/>
      </w:pPr>
      <w:r>
        <w:rPr>
          <w:rStyle w:val="Funotenzeichen"/>
        </w:rPr>
        <w:footnoteRef/>
      </w:r>
      <w:r>
        <w:t xml:space="preserve"> </w:t>
      </w:r>
      <w:r>
        <w:rPr>
          <w:rStyle w:val="Carpredefinitoparagrafo"/>
          <w:i/>
          <w:iCs/>
        </w:rPr>
        <w:t>Letteratura</w:t>
      </w:r>
      <w:r>
        <w:t>, vol. VI, pp. 11-27 e 136-143.</w:t>
      </w:r>
    </w:p>
  </w:footnote>
  <w:footnote w:id="18">
    <w:p w14:paraId="30695A71" w14:textId="77777777" w:rsidR="00EF2153" w:rsidRDefault="00000000">
      <w:pPr>
        <w:pStyle w:val="Testonotaapidipagina"/>
        <w:ind w:firstLine="170"/>
        <w:jc w:val="both"/>
      </w:pPr>
      <w:r>
        <w:rPr>
          <w:rStyle w:val="Funotenzeichen"/>
        </w:rPr>
        <w:footnoteRef/>
      </w:r>
      <w:r>
        <w:t xml:space="preserve"> </w:t>
      </w:r>
      <w:r>
        <w:rPr>
          <w:rStyle w:val="Carpredefinitoparagrafo"/>
          <w:i/>
          <w:iCs/>
        </w:rPr>
        <w:t>Letteratura</w:t>
      </w:r>
      <w:r>
        <w:t>, vol. I, pp. 7-8.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2153"/>
    <w:rsid w:val="000A6344"/>
    <w:rsid w:val="00CD2E54"/>
    <w:rsid w:val="00E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F9A64"/>
  <w15:docId w15:val="{711E064C-E089-134F-A115-B54DC50E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ind w:firstLine="283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1">
    <w:name w:val="Titolo 1"/>
    <w:basedOn w:val="Heading"/>
    <w:next w:val="Textbody"/>
    <w:pPr>
      <w:outlineLvl w:val="0"/>
    </w:pPr>
    <w:rPr>
      <w:b/>
    </w:rPr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Heading">
    <w:name w:val="Heading"/>
    <w:basedOn w:val="Standard"/>
    <w:next w:val="Textbody"/>
    <w:pPr>
      <w:keepNext/>
    </w:pPr>
    <w:rPr>
      <w:rFonts w:eastAsia="Microsoft YaHei"/>
      <w:sz w:val="30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">
    <w:name w:val="Elenco"/>
    <w:basedOn w:val="Textbody"/>
  </w:style>
  <w:style w:type="paragraph" w:customStyle="1" w:styleId="Didascalia">
    <w:name w:val="Didascali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idipagina">
    <w:name w:val="Piè di pagina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TE">
    <w:name w:val="NOTE"/>
    <w:basedOn w:val="Standard"/>
    <w:pPr>
      <w:ind w:firstLine="170"/>
    </w:pPr>
    <w:rPr>
      <w:sz w:val="20"/>
    </w:rPr>
  </w:style>
  <w:style w:type="paragraph" w:customStyle="1" w:styleId="CITAZIONE">
    <w:name w:val="CITAZIONE"/>
    <w:basedOn w:val="Standard"/>
    <w:pPr>
      <w:ind w:left="567" w:right="567" w:firstLine="0"/>
    </w:pPr>
    <w:rPr>
      <w:sz w:val="20"/>
    </w:rPr>
  </w:style>
  <w:style w:type="paragraph" w:customStyle="1" w:styleId="Footnote">
    <w:name w:val="Footnote"/>
    <w:basedOn w:val="Standard"/>
    <w:pPr>
      <w:suppressLineNumbers/>
      <w:ind w:firstLine="170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Rimandonotaapidipagina">
    <w:name w:val="Rimando nota a piè di pagina"/>
    <w:basedOn w:val="Carpredefinitoparagrafo"/>
    <w:rPr>
      <w:position w:val="0"/>
      <w:vertAlign w:val="superscript"/>
    </w:rPr>
  </w:style>
  <w:style w:type="paragraph" w:customStyle="1" w:styleId="Testonotaapidipagina">
    <w:name w:val="Testo nota a piè di pagina"/>
    <w:basedOn w:val="Normal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Cademartoori</dc:creator>
  <cp:lastModifiedBy>Erica Autelli</cp:lastModifiedBy>
  <cp:revision>2</cp:revision>
  <cp:lastPrinted>2024-01-02T10:44:00Z</cp:lastPrinted>
  <dcterms:created xsi:type="dcterms:W3CDTF">2024-01-02T10:44:00Z</dcterms:created>
  <dcterms:modified xsi:type="dcterms:W3CDTF">2024-01-02T10:44:00Z</dcterms:modified>
</cp:coreProperties>
</file>